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Assessment Guidelines for ENGL 100W</w:t>
      </w:r>
    </w:p>
    <w:p w:rsidR="00000000" w:rsidDel="00000000" w:rsidP="00000000" w:rsidRDefault="00000000" w:rsidRPr="00000000" w14:paraId="00000002">
      <w:pPr>
        <w:rPr/>
      </w:pPr>
      <w:r w:rsidDel="00000000" w:rsidR="00000000" w:rsidRPr="00000000">
        <w:rPr>
          <w:rtl w:val="0"/>
        </w:rPr>
        <w:t xml:space="preserve"> </w:t>
      </w:r>
    </w:p>
    <w:tbl>
      <w:tblPr>
        <w:tblStyle w:val="Table1"/>
        <w:tblW w:w="912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3075"/>
        <w:gridCol w:w="2955"/>
        <w:gridCol w:w="3090"/>
        <w:tblGridChange w:id="0">
          <w:tblGrid>
            <w:gridCol w:w="3075"/>
            <w:gridCol w:w="2955"/>
            <w:gridCol w:w="3090"/>
          </w:tblGrid>
        </w:tblGridChange>
      </w:tblGrid>
      <w:tr>
        <w:trPr>
          <w:cantSplit w:val="0"/>
          <w:trHeight w:val="47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3">
            <w:pPr>
              <w:rPr/>
            </w:pPr>
            <w:r w:rsidDel="00000000" w:rsidR="00000000" w:rsidRPr="00000000">
              <w:rPr>
                <w:rtl w:val="0"/>
              </w:rPr>
              <w:t xml:space="preserve">PLO</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4">
            <w:pPr>
              <w:rPr/>
            </w:pPr>
            <w:r w:rsidDel="00000000" w:rsidR="00000000" w:rsidRPr="00000000">
              <w:rPr>
                <w:rtl w:val="0"/>
              </w:rPr>
              <w:t xml:space="preserve">How Met</w:t>
            </w:r>
          </w:p>
        </w:tc>
        <w:tc>
          <w:tcPr>
            <w:tcBorders>
              <w:top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Assignments</w:t>
            </w:r>
          </w:p>
        </w:tc>
      </w:tr>
      <w:tr>
        <w:trPr>
          <w:cantSplit w:val="0"/>
          <w:trHeight w:val="195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1. Read closely in a variety of forms, styles, structures, and modes, and articulate the value of close reading in the study of literature, creative writing, and/or rhetoric</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rFonts w:ascii="Calibri" w:cs="Calibri" w:eastAsia="Calibri" w:hAnsi="Calibri"/>
                <w:rtl w:val="0"/>
              </w:rPr>
              <w:t xml:space="preserve">Lectures and in-class demonstrations of how to interpret poetry, fiction, and drama. Students analyze poems and short passages from fiction and drama.</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Poetry explications</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Close-reading classwork assignments</w:t>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Essays</w:t>
            </w:r>
          </w:p>
        </w:tc>
      </w:tr>
      <w:tr>
        <w:trPr>
          <w:cantSplit w:val="0"/>
          <w:trHeight w:val="146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rtl w:val="0"/>
              </w:rPr>
              <w:t xml:space="preserve">2. Show familiarity with major literary works, genres, periods, and critical approaches to British and American literature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pPr>
            <w:r w:rsidDel="00000000" w:rsidR="00000000" w:rsidRPr="00000000">
              <w:rPr>
                <w:sz w:val="24"/>
                <w:szCs w:val="24"/>
                <w:rtl w:val="0"/>
              </w:rPr>
              <w:t xml:space="preserve">Students in 100W read poetry, prose, and drama across literary periods. Students are also introduced to the basics of literary theory, which gives them some understanding of the various critical approaches to literature.</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rtl w:val="0"/>
              </w:rPr>
              <w:t xml:space="preserve">Reader responses</w:t>
            </w:r>
          </w:p>
          <w:p w:rsidR="00000000" w:rsidDel="00000000" w:rsidP="00000000" w:rsidRDefault="00000000" w:rsidRPr="00000000" w14:paraId="0000000E">
            <w:pPr>
              <w:rPr/>
            </w:pPr>
            <w:r w:rsidDel="00000000" w:rsidR="00000000" w:rsidRPr="00000000">
              <w:rPr>
                <w:rtl w:val="0"/>
              </w:rPr>
              <w:t xml:space="preserve">Critical lens presentations</w:t>
            </w:r>
          </w:p>
          <w:p w:rsidR="00000000" w:rsidDel="00000000" w:rsidP="00000000" w:rsidRDefault="00000000" w:rsidRPr="00000000" w14:paraId="0000000F">
            <w:pPr>
              <w:rPr/>
            </w:pPr>
            <w:r w:rsidDel="00000000" w:rsidR="00000000" w:rsidRPr="00000000">
              <w:rPr>
                <w:rtl w:val="0"/>
              </w:rPr>
              <w:t xml:space="preserve">Essay assignments</w:t>
            </w:r>
          </w:p>
        </w:tc>
      </w:tr>
      <w:tr>
        <w:trPr>
          <w:cantSplit w:val="0"/>
          <w:trHeight w:val="96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3. Write clearly, effectively, and creatively</w:t>
            </w:r>
          </w:p>
          <w:p w:rsidR="00000000" w:rsidDel="00000000" w:rsidP="00000000" w:rsidRDefault="00000000" w:rsidRPr="00000000" w14:paraId="00000011">
            <w:pPr>
              <w:rPr/>
            </w:pPr>
            <w:r w:rsidDel="00000000" w:rsidR="00000000" w:rsidRPr="00000000">
              <w:rPr>
                <w:rtl w:val="0"/>
              </w:rPr>
              <w:t xml:space="preserve"> </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w:t>
            </w:r>
            <w:r w:rsidDel="00000000" w:rsidR="00000000" w:rsidRPr="00000000">
              <w:rPr>
                <w:rFonts w:ascii="Calibri" w:cs="Calibri" w:eastAsia="Calibri" w:hAnsi="Calibri"/>
                <w:rtl w:val="0"/>
              </w:rPr>
              <w:t xml:space="preserve">In-class discussion of sample student papers; grammar modules provide scaffolded instruction for punctuation and grammar</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Essays</w:t>
            </w:r>
          </w:p>
          <w:p w:rsidR="00000000" w:rsidDel="00000000" w:rsidP="00000000" w:rsidRDefault="00000000" w:rsidRPr="00000000" w14:paraId="00000014">
            <w:pPr>
              <w:rPr/>
            </w:pPr>
            <w:r w:rsidDel="00000000" w:rsidR="00000000" w:rsidRPr="00000000">
              <w:rPr>
                <w:rtl w:val="0"/>
              </w:rPr>
              <w:t xml:space="preserve">Peer review assignments</w:t>
            </w:r>
          </w:p>
          <w:p w:rsidR="00000000" w:rsidDel="00000000" w:rsidP="00000000" w:rsidRDefault="00000000" w:rsidRPr="00000000" w14:paraId="00000015">
            <w:pPr>
              <w:rPr/>
            </w:pPr>
            <w:r w:rsidDel="00000000" w:rsidR="00000000" w:rsidRPr="00000000">
              <w:rPr>
                <w:rtl w:val="0"/>
              </w:rPr>
            </w:r>
          </w:p>
        </w:tc>
      </w:tr>
      <w:tr>
        <w:trPr>
          <w:cantSplit w:val="0"/>
          <w:trHeight w:val="710"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rPr/>
            </w:pPr>
            <w:r w:rsidDel="00000000" w:rsidR="00000000" w:rsidRPr="00000000">
              <w:rPr>
                <w:rtl w:val="0"/>
              </w:rPr>
              <w:t xml:space="preserve">4. Develop and carry out research projects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rPr/>
            </w:pPr>
            <w:r w:rsidDel="00000000" w:rsidR="00000000" w:rsidRPr="00000000">
              <w:rPr>
                <w:rFonts w:ascii="Calibri" w:cs="Calibri" w:eastAsia="Calibri" w:hAnsi="Calibri"/>
                <w:rtl w:val="0"/>
              </w:rPr>
              <w:t xml:space="preserve">In-class demos on evaluating and integrating source material; MLA format/citation guidelines;</w:t>
            </w:r>
            <w:r w:rsidDel="00000000" w:rsidR="00000000" w:rsidRPr="00000000">
              <w:rPr>
                <w:rtl w:val="0"/>
              </w:rPr>
              <w:t xml:space="preserve"> </w:t>
            </w:r>
            <w:r w:rsidDel="00000000" w:rsidR="00000000" w:rsidRPr="00000000">
              <w:rPr>
                <w:rtl w:val="0"/>
              </w:rPr>
              <w:t xml:space="preserve"> Introduction of possible “critical contexts” or contemporary debates through which to analyze texts; students also conduct research and summarize academic arguments</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t xml:space="preserve">American Archives Project.</w:t>
            </w:r>
          </w:p>
          <w:p w:rsidR="00000000" w:rsidDel="00000000" w:rsidP="00000000" w:rsidRDefault="00000000" w:rsidRPr="00000000" w14:paraId="00000019">
            <w:pPr>
              <w:rPr/>
            </w:pPr>
            <w:r w:rsidDel="00000000" w:rsidR="00000000" w:rsidRPr="00000000">
              <w:rPr>
                <w:rtl w:val="0"/>
              </w:rPr>
              <w:t xml:space="preserve">Harlem Renaissance literary archives research. </w:t>
            </w:r>
          </w:p>
          <w:p w:rsidR="00000000" w:rsidDel="00000000" w:rsidP="00000000" w:rsidRDefault="00000000" w:rsidRPr="00000000" w14:paraId="0000001A">
            <w:pPr>
              <w:rPr/>
            </w:pPr>
            <w:r w:rsidDel="00000000" w:rsidR="00000000" w:rsidRPr="00000000">
              <w:rPr>
                <w:rtl w:val="0"/>
              </w:rPr>
              <w:t xml:space="preserve">Research assignments</w:t>
            </w:r>
          </w:p>
          <w:p w:rsidR="00000000" w:rsidDel="00000000" w:rsidP="00000000" w:rsidRDefault="00000000" w:rsidRPr="00000000" w14:paraId="0000001B">
            <w:pPr>
              <w:rPr/>
            </w:pPr>
            <w:r w:rsidDel="00000000" w:rsidR="00000000" w:rsidRPr="00000000">
              <w:rPr>
                <w:rtl w:val="0"/>
              </w:rPr>
              <w:t xml:space="preserve">Research essays</w:t>
            </w:r>
            <w:r w:rsidDel="00000000" w:rsidR="00000000" w:rsidRPr="00000000">
              <w:rPr>
                <w:rtl w:val="0"/>
              </w:rPr>
            </w:r>
          </w:p>
        </w:tc>
      </w:tr>
      <w:tr>
        <w:trPr>
          <w:cantSplit w:val="0"/>
          <w:trHeight w:val="965" w:hRule="atLeast"/>
          <w:tblHeader w:val="0"/>
        </w:trPr>
        <w:tc>
          <w:tcPr>
            <w:tcBorders>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t xml:space="preserve">5. Articulate the relations among culture, history, and texts including structures of power.</w:t>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rPr/>
            </w:pPr>
            <w:r w:rsidDel="00000000" w:rsidR="00000000" w:rsidRPr="00000000">
              <w:rPr>
                <w:rFonts w:ascii="Calibri" w:cs="Calibri" w:eastAsia="Calibri" w:hAnsi="Calibri"/>
                <w:rtl w:val="0"/>
              </w:rPr>
              <w:t xml:space="preserve">Students are encouraged to think about the relations among culture, history, and texts through lectures, discussions, and targeted readings. </w:t>
            </w:r>
            <w:r w:rsidDel="00000000" w:rsidR="00000000" w:rsidRPr="00000000">
              <w:rPr>
                <w:rtl w:val="0"/>
              </w:rPr>
            </w:r>
          </w:p>
        </w:tc>
        <w:tc>
          <w:tcPr>
            <w:tcBorders>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rPr/>
            </w:pPr>
            <w:r w:rsidDel="00000000" w:rsidR="00000000" w:rsidRPr="00000000">
              <w:rPr>
                <w:rtl w:val="0"/>
              </w:rPr>
              <w:t xml:space="preserve">Secondary sources that students locate and integrate into their papers provide cultural and historical contexts.</w:t>
            </w:r>
          </w:p>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rPr/>
      </w:pPr>
      <w:r w:rsidDel="00000000" w:rsidR="00000000" w:rsidRPr="00000000">
        <w:rPr>
          <w:rtl w:val="0"/>
        </w:rPr>
        <w:t xml:space="preserve"> </w:t>
      </w:r>
    </w:p>
    <w:p w:rsidR="00000000" w:rsidDel="00000000" w:rsidP="00000000" w:rsidRDefault="00000000" w:rsidRPr="00000000" w14:paraId="00000021">
      <w:pPr>
        <w:rPr/>
      </w:pPr>
      <w:r w:rsidDel="00000000" w:rsidR="00000000" w:rsidRPr="00000000">
        <w:rPr>
          <w:rtl w:val="0"/>
        </w:rPr>
        <w:t xml:space="preserve"> </w:t>
      </w:r>
    </w:p>
    <w:p w:rsidR="00000000" w:rsidDel="00000000" w:rsidP="00000000" w:rsidRDefault="00000000" w:rsidRPr="00000000" w14:paraId="00000022">
      <w:pPr>
        <w:rPr/>
      </w:pPr>
      <w:r w:rsidDel="00000000" w:rsidR="00000000" w:rsidRPr="00000000">
        <w:rPr>
          <w:rtl w:val="0"/>
        </w:rPr>
        <w:t xml:space="preserve"> </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